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D392" w14:textId="77777777" w:rsidR="003057C6" w:rsidRDefault="003057C6" w:rsidP="003057C6">
      <w:r w:rsidRPr="00FC78C8">
        <w:rPr>
          <w:noProof/>
        </w:rPr>
        <w:drawing>
          <wp:anchor distT="0" distB="0" distL="114300" distR="114300" simplePos="0" relativeHeight="251659264" behindDoc="0" locked="0" layoutInCell="1" allowOverlap="1" wp14:anchorId="79B02705" wp14:editId="75D5E1E0">
            <wp:simplePos x="0" y="0"/>
            <wp:positionH relativeFrom="margin">
              <wp:posOffset>1880870</wp:posOffset>
            </wp:positionH>
            <wp:positionV relativeFrom="paragraph">
              <wp:posOffset>-452120</wp:posOffset>
            </wp:positionV>
            <wp:extent cx="2076517" cy="1186774"/>
            <wp:effectExtent l="0" t="0" r="0" b="0"/>
            <wp:wrapNone/>
            <wp:docPr id="1" name="Picture 1" descr="cid:image003.jpg@01CDC27D.27CF2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C27D.27CF2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17" cy="118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43A3D" w14:textId="77777777" w:rsidR="003057C6" w:rsidRDefault="003057C6" w:rsidP="003057C6"/>
    <w:p w14:paraId="1D7B2AD3" w14:textId="77777777" w:rsidR="003057C6" w:rsidRDefault="003057C6" w:rsidP="003057C6"/>
    <w:p w14:paraId="1926B360" w14:textId="77777777" w:rsidR="003057C6" w:rsidRDefault="003057C6" w:rsidP="003057C6"/>
    <w:p w14:paraId="7CBC31BA" w14:textId="77777777" w:rsidR="003057C6" w:rsidRDefault="003057C6" w:rsidP="003057C6"/>
    <w:p w14:paraId="5ACCB430" w14:textId="004B01AC" w:rsidR="00866690" w:rsidRPr="00A3372F" w:rsidRDefault="004F7603" w:rsidP="00866690">
      <w:pPr>
        <w:jc w:val="center"/>
        <w:rPr>
          <w:b/>
          <w:u w:val="single"/>
        </w:rPr>
      </w:pPr>
      <w:r>
        <w:rPr>
          <w:b/>
          <w:u w:val="single"/>
        </w:rPr>
        <w:t>Breastfeeding and</w:t>
      </w:r>
      <w:r w:rsidR="003057C6" w:rsidRPr="00A3372F">
        <w:rPr>
          <w:b/>
          <w:u w:val="single"/>
        </w:rPr>
        <w:t xml:space="preserve"> Hormonal Contraception</w:t>
      </w:r>
    </w:p>
    <w:p w14:paraId="7A298CF2" w14:textId="0E997488" w:rsidR="003057C6" w:rsidRDefault="003057C6" w:rsidP="003057C6">
      <w:r w:rsidRPr="003057C6">
        <w:br/>
      </w:r>
      <w:r w:rsidR="009A0EC5">
        <w:t>The Center</w:t>
      </w:r>
      <w:r w:rsidR="001B125A">
        <w:t>s</w:t>
      </w:r>
      <w:r w:rsidR="009A0EC5">
        <w:t xml:space="preserve"> for Disease Control and Prevention’s (CDC) </w:t>
      </w:r>
      <w:r w:rsidR="00836E51">
        <w:rPr>
          <w:i/>
        </w:rPr>
        <w:t xml:space="preserve">U.S. Selected Practice </w:t>
      </w:r>
      <w:r w:rsidR="009A0EC5" w:rsidRPr="009A0EC5">
        <w:rPr>
          <w:i/>
        </w:rPr>
        <w:t>Recommendations for Contraceptive Use, 2013</w:t>
      </w:r>
      <w:r w:rsidR="004F7603">
        <w:t xml:space="preserve">: </w:t>
      </w:r>
    </w:p>
    <w:p w14:paraId="55692379" w14:textId="6A6A4890" w:rsidR="00D268F1" w:rsidRDefault="00D268F1" w:rsidP="003057C6"/>
    <w:p w14:paraId="3D82B006" w14:textId="50AB3A85" w:rsidR="00866690" w:rsidRDefault="00D268F1" w:rsidP="001B125A">
      <w:pPr>
        <w:pStyle w:val="ListParagraph"/>
        <w:numPr>
          <w:ilvl w:val="0"/>
          <w:numId w:val="2"/>
        </w:numPr>
      </w:pPr>
      <w:proofErr w:type="spellStart"/>
      <w:r>
        <w:t>Levonorgestrel</w:t>
      </w:r>
      <w:proofErr w:type="spellEnd"/>
      <w:r>
        <w:t xml:space="preserve"> </w:t>
      </w:r>
      <w:proofErr w:type="spellStart"/>
      <w:r>
        <w:t>Intraunterine</w:t>
      </w:r>
      <w:proofErr w:type="spellEnd"/>
      <w:r>
        <w:t xml:space="preserve"> Devices (LNG-IUD), including </w:t>
      </w:r>
      <w:proofErr w:type="spellStart"/>
      <w:r>
        <w:t>Mirena</w:t>
      </w:r>
      <w:proofErr w:type="spellEnd"/>
      <w:r>
        <w:t xml:space="preserve">, Skyla, and </w:t>
      </w:r>
      <w:proofErr w:type="spellStart"/>
      <w:r>
        <w:t>Liletta</w:t>
      </w:r>
      <w:proofErr w:type="spellEnd"/>
      <w:r w:rsidR="002764DD">
        <w:t xml:space="preserve">, can be used immediately postpartum. The advantages of using LNG-IUDs generally outweigh the theoretical or proven risks if inserted less than 10 minutes </w:t>
      </w:r>
      <w:r w:rsidR="004F7603">
        <w:t xml:space="preserve">up </w:t>
      </w:r>
      <w:r w:rsidR="002764DD">
        <w:t xml:space="preserve">to 4 weeks after delivery of the placenta, and there is no restriction for use of the method if </w:t>
      </w:r>
      <w:r w:rsidR="00056D54">
        <w:t>ins</w:t>
      </w:r>
      <w:r w:rsidR="002764DD">
        <w:t>er</w:t>
      </w:r>
      <w:r w:rsidR="00056D54">
        <w:t>t</w:t>
      </w:r>
      <w:r w:rsidR="002764DD">
        <w:t xml:space="preserve">ed more than or equal to 4 weeks after delivery of the placenta. </w:t>
      </w:r>
    </w:p>
    <w:p w14:paraId="59A7B291" w14:textId="77777777" w:rsidR="00056D54" w:rsidRDefault="00056D54" w:rsidP="003057C6"/>
    <w:p w14:paraId="117A3D18" w14:textId="338FC607" w:rsidR="00D268F1" w:rsidRDefault="00942A98" w:rsidP="001B125A">
      <w:pPr>
        <w:pStyle w:val="ListParagraph"/>
        <w:numPr>
          <w:ilvl w:val="0"/>
          <w:numId w:val="2"/>
        </w:numPr>
      </w:pPr>
      <w:r>
        <w:t xml:space="preserve">Progestin-only </w:t>
      </w:r>
      <w:r>
        <w:t xml:space="preserve">Pills, Implants, and Injections </w:t>
      </w:r>
      <w:r w:rsidR="00056D54">
        <w:t>can also be</w:t>
      </w:r>
      <w:r w:rsidR="001B125A">
        <w:t xml:space="preserve"> with relatively little risk</w:t>
      </w:r>
      <w:r w:rsidR="00056D54">
        <w:t xml:space="preserve">. The advantages of </w:t>
      </w:r>
      <w:r w:rsidR="001B125A">
        <w:t>using these methods</w:t>
      </w:r>
      <w:r w:rsidR="00056D54">
        <w:t xml:space="preserve"> generally outweigh the theoretical or proven risks if </w:t>
      </w:r>
      <w:r w:rsidR="001B125A">
        <w:t xml:space="preserve">used </w:t>
      </w:r>
      <w:r w:rsidR="00056D54">
        <w:t xml:space="preserve">less than </w:t>
      </w:r>
      <w:r w:rsidR="001B125A">
        <w:t>1 month postpartum</w:t>
      </w:r>
      <w:r w:rsidR="00056D54">
        <w:t>, and there is no restriction for use of the</w:t>
      </w:r>
      <w:r w:rsidR="001B125A">
        <w:t>se</w:t>
      </w:r>
      <w:r w:rsidR="00056D54">
        <w:t xml:space="preserve"> method</w:t>
      </w:r>
      <w:r w:rsidR="001B125A">
        <w:t>s</w:t>
      </w:r>
      <w:r w:rsidR="00056D54">
        <w:t xml:space="preserve"> </w:t>
      </w:r>
      <w:r w:rsidR="001B125A">
        <w:t xml:space="preserve">1 month or more postpartum. </w:t>
      </w:r>
    </w:p>
    <w:p w14:paraId="19868216" w14:textId="77777777" w:rsidR="003057C6" w:rsidRDefault="003057C6" w:rsidP="001B125A"/>
    <w:p w14:paraId="58393A97" w14:textId="77777777" w:rsidR="003057C6" w:rsidRDefault="001B125A" w:rsidP="001B125A">
      <w:pPr>
        <w:pStyle w:val="ListParagraph"/>
        <w:numPr>
          <w:ilvl w:val="0"/>
          <w:numId w:val="2"/>
        </w:numPr>
      </w:pPr>
      <w:r>
        <w:t xml:space="preserve">Combined Hormonal Contraceptives (Pills, Patch, Ring) contain progestin and estrogen and generally shouldn’t be used </w:t>
      </w:r>
      <w:r w:rsidR="003057C6" w:rsidRPr="003057C6">
        <w:t xml:space="preserve">until </w:t>
      </w:r>
      <w:r>
        <w:t>at least 1 month</w:t>
      </w:r>
      <w:r w:rsidR="003057C6" w:rsidRPr="003057C6">
        <w:t xml:space="preserve"> postpartum. If other health risks are present for deep vein thrombosis, women who are breastfeedin</w:t>
      </w:r>
      <w:r>
        <w:t>g are advised to wait to use combined hormonal contraceptives</w:t>
      </w:r>
      <w:r w:rsidR="003057C6" w:rsidRPr="003057C6">
        <w:t xml:space="preserve"> until the 6th week postpartum.</w:t>
      </w:r>
      <w:r w:rsidR="008647F6">
        <w:rPr>
          <w:rStyle w:val="EndnoteReference"/>
        </w:rPr>
        <w:endnoteReference w:id="1"/>
      </w:r>
      <w:r w:rsidR="003057C6" w:rsidRPr="003057C6">
        <w:t> </w:t>
      </w:r>
    </w:p>
    <w:p w14:paraId="2689A054" w14:textId="77777777" w:rsidR="003057C6" w:rsidRDefault="003057C6" w:rsidP="003057C6"/>
    <w:p w14:paraId="597DE73F" w14:textId="569C7D58" w:rsidR="004F7603" w:rsidRDefault="000C3641" w:rsidP="003057C6">
      <w:r>
        <w:t>Statements</w:t>
      </w:r>
      <w:r w:rsidR="00836E51">
        <w:t xml:space="preserve"> from T</w:t>
      </w:r>
      <w:r w:rsidR="008647F6">
        <w:t>he American Congress of Obstetricians and Gynecologists (ACOG</w:t>
      </w:r>
      <w:r w:rsidR="00836E51">
        <w:t>):</w:t>
      </w:r>
    </w:p>
    <w:p w14:paraId="30184E63" w14:textId="6FEF28A4" w:rsidR="00836E51" w:rsidRDefault="00836E51" w:rsidP="003057C6"/>
    <w:p w14:paraId="7666C6F0" w14:textId="5113A043" w:rsidR="00836E51" w:rsidRDefault="009A5D55" w:rsidP="00836E51">
      <w:pPr>
        <w:pStyle w:val="ListParagraph"/>
        <w:numPr>
          <w:ilvl w:val="0"/>
          <w:numId w:val="3"/>
        </w:numPr>
      </w:pPr>
      <w:r>
        <w:t>The advantages of using LNG-IUDs</w:t>
      </w:r>
      <w:r w:rsidR="00730F0B">
        <w:t xml:space="preserve"> and implants</w:t>
      </w:r>
      <w:r>
        <w:t xml:space="preserve"> generally outweigh the theoretical or proven risks if inserted less than</w:t>
      </w:r>
      <w:r w:rsidR="00730F0B">
        <w:t xml:space="preserve"> 1 month postpartum</w:t>
      </w:r>
      <w:r>
        <w:t>, and there is no restriction for use of the method if inserted more than or equal to</w:t>
      </w:r>
      <w:r w:rsidR="00730F0B">
        <w:t xml:space="preserve"> 1 month postpartum</w:t>
      </w:r>
      <w:r>
        <w:t>.</w:t>
      </w:r>
      <w:r>
        <w:rPr>
          <w:rStyle w:val="EndnoteReference"/>
        </w:rPr>
        <w:endnoteReference w:id="2"/>
      </w:r>
      <w:r>
        <w:t xml:space="preserve"> </w:t>
      </w:r>
      <w:r w:rsidR="0091130B">
        <w:t>“</w:t>
      </w:r>
      <w:r w:rsidR="00836E51">
        <w:t>T</w:t>
      </w:r>
      <w:r w:rsidR="0091130B" w:rsidRPr="003057C6">
        <w:t>he progestin in hormonal IUDs or implants, could p</w:t>
      </w:r>
      <w:r w:rsidR="0091130B">
        <w:t>revent onset of milk production,</w:t>
      </w:r>
      <w:r w:rsidR="0091130B" w:rsidRPr="003057C6">
        <w:t>"</w:t>
      </w:r>
      <w:r w:rsidR="0091130B">
        <w:t xml:space="preserve"> however</w:t>
      </w:r>
      <w:r w:rsidR="008647F6">
        <w:t xml:space="preserve"> </w:t>
      </w:r>
      <w:r w:rsidR="003057C6" w:rsidRPr="003057C6">
        <w:t>"there are few contraindications to postpartum IUDs and implants. Obstetrician–gynecologists and other obstetric care providers should counsel women about the convenience and effectivene</w:t>
      </w:r>
      <w:r w:rsidR="00AB4550">
        <w:t>ss of immediate postpartum LARC..</w:t>
      </w:r>
      <w:r w:rsidR="003057C6" w:rsidRPr="003057C6">
        <w:t>."</w:t>
      </w:r>
      <w:r w:rsidR="0091130B">
        <w:rPr>
          <w:rStyle w:val="EndnoteReference"/>
        </w:rPr>
        <w:endnoteReference w:id="3"/>
      </w:r>
      <w:r w:rsidR="0091130B">
        <w:t xml:space="preserve"> </w:t>
      </w:r>
    </w:p>
    <w:p w14:paraId="4E8F202F" w14:textId="77777777" w:rsidR="00836E51" w:rsidRDefault="00836E51" w:rsidP="003057C6"/>
    <w:p w14:paraId="08D87875" w14:textId="5F1005A8" w:rsidR="003057C6" w:rsidRPr="003057C6" w:rsidRDefault="000C3641" w:rsidP="00AB4550">
      <w:pPr>
        <w:pStyle w:val="ListParagraph"/>
        <w:numPr>
          <w:ilvl w:val="0"/>
          <w:numId w:val="3"/>
        </w:numPr>
      </w:pPr>
      <w:r>
        <w:t>P</w:t>
      </w:r>
      <w:r w:rsidR="007B036F">
        <w:t>rogestin-only pills and injections are safe to women to take immediately after childbirth.</w:t>
      </w:r>
      <w:r w:rsidR="007B036F">
        <w:rPr>
          <w:rStyle w:val="EndnoteReference"/>
        </w:rPr>
        <w:endnoteReference w:id="4"/>
      </w:r>
      <w:r w:rsidR="007B036F">
        <w:t xml:space="preserve"> </w:t>
      </w:r>
      <w:r w:rsidR="00AB4550">
        <w:t>“…O</w:t>
      </w:r>
      <w:r w:rsidR="00AB4550" w:rsidRPr="00AB4550">
        <w:t>bservational studies of progestin-only contraceptives suggest they have no effect on successful initiation and continuation of breastfeeding or on infant growth and development</w:t>
      </w:r>
      <w:r w:rsidR="00AB4550">
        <w:t>.”</w:t>
      </w:r>
      <w:r w:rsidR="00942A98">
        <w:rPr>
          <w:rStyle w:val="EndnoteReference"/>
        </w:rPr>
        <w:endnoteReference w:id="5"/>
      </w:r>
    </w:p>
    <w:p w14:paraId="7391CDFC" w14:textId="77777777" w:rsidR="003057C6" w:rsidRDefault="003057C6" w:rsidP="003057C6"/>
    <w:p w14:paraId="3B982034" w14:textId="456E939D" w:rsidR="0091130B" w:rsidRDefault="0043500D" w:rsidP="00836E51">
      <w:pPr>
        <w:pStyle w:val="ListParagraph"/>
        <w:numPr>
          <w:ilvl w:val="0"/>
          <w:numId w:val="3"/>
        </w:numPr>
      </w:pPr>
      <w:r>
        <w:lastRenderedPageBreak/>
        <w:t xml:space="preserve">ACOG </w:t>
      </w:r>
      <w:r w:rsidR="00544110">
        <w:t xml:space="preserve">recommends women who breastfeed wait until </w:t>
      </w:r>
      <w:r w:rsidR="00344056">
        <w:t xml:space="preserve">at least </w:t>
      </w:r>
      <w:r w:rsidR="00544110">
        <w:t>the fifth week postpartum to use combined hormonal contraception, after breastfeeding has been well established.</w:t>
      </w:r>
      <w:r w:rsidR="00544110">
        <w:rPr>
          <w:rStyle w:val="EndnoteReference"/>
        </w:rPr>
        <w:endnoteReference w:id="6"/>
      </w:r>
      <w:r w:rsidR="00544110">
        <w:t xml:space="preserve"> </w:t>
      </w:r>
    </w:p>
    <w:p w14:paraId="0C20E334" w14:textId="47575ED9" w:rsidR="004F7603" w:rsidRDefault="004F7603" w:rsidP="003057C6"/>
    <w:p w14:paraId="735C01C7" w14:textId="7CF7E605" w:rsidR="004F7603" w:rsidRDefault="00AB4550" w:rsidP="003057C6">
      <w:r>
        <w:t xml:space="preserve">There was no reference to breastfeeding related to hormonal contraception in the most recent Providing Quality Family Planning Services (QFP) document. </w:t>
      </w:r>
    </w:p>
    <w:p w14:paraId="2BBD1BDE" w14:textId="77777777" w:rsidR="004F7603" w:rsidRDefault="004F7603" w:rsidP="003057C6"/>
    <w:p w14:paraId="30BE2E0B" w14:textId="3E21C5DA" w:rsidR="004F7603" w:rsidRDefault="004F7603" w:rsidP="007C0391">
      <w:r>
        <w:t>W</w:t>
      </w:r>
      <w:r w:rsidR="007C0391">
        <w:t xml:space="preserve">orld </w:t>
      </w:r>
      <w:r>
        <w:t>H</w:t>
      </w:r>
      <w:r w:rsidR="007C0391">
        <w:t xml:space="preserve">ealth </w:t>
      </w:r>
      <w:r>
        <w:t>O</w:t>
      </w:r>
      <w:r w:rsidR="007C0391">
        <w:t>rganization r</w:t>
      </w:r>
      <w:r>
        <w:t>ecommendations</w:t>
      </w:r>
      <w:r w:rsidR="0043500D">
        <w:t>:</w:t>
      </w:r>
      <w:r>
        <w:t xml:space="preserve"> </w:t>
      </w:r>
    </w:p>
    <w:p w14:paraId="0AF93996" w14:textId="77777777" w:rsidR="004F7603" w:rsidRDefault="004F7603" w:rsidP="004F7603"/>
    <w:tbl>
      <w:tblPr>
        <w:tblStyle w:val="TableGrid"/>
        <w:tblW w:w="0" w:type="auto"/>
        <w:tblInd w:w="544" w:type="dxa"/>
        <w:tblLook w:val="04A0" w:firstRow="1" w:lastRow="0" w:firstColumn="1" w:lastColumn="0" w:noHBand="0" w:noVBand="1"/>
      </w:tblPr>
      <w:tblGrid>
        <w:gridCol w:w="3574"/>
        <w:gridCol w:w="4405"/>
      </w:tblGrid>
      <w:tr w:rsidR="004F7603" w14:paraId="4B6422EB" w14:textId="77777777" w:rsidTr="00CC4241">
        <w:trPr>
          <w:trHeight w:val="323"/>
        </w:trPr>
        <w:tc>
          <w:tcPr>
            <w:tcW w:w="3574" w:type="dxa"/>
          </w:tcPr>
          <w:p w14:paraId="1622DDF3" w14:textId="77777777" w:rsidR="004F7603" w:rsidRDefault="004F7603" w:rsidP="00CC4241">
            <w:pPr>
              <w:jc w:val="center"/>
            </w:pPr>
            <w:r>
              <w:t>Type of Hormonal Contraceptive</w:t>
            </w:r>
          </w:p>
        </w:tc>
        <w:tc>
          <w:tcPr>
            <w:tcW w:w="4405" w:type="dxa"/>
          </w:tcPr>
          <w:p w14:paraId="52A97E6E" w14:textId="77777777" w:rsidR="004F7603" w:rsidRDefault="004F7603" w:rsidP="00CC4241">
            <w:pPr>
              <w:jc w:val="center"/>
            </w:pPr>
            <w:r>
              <w:t>Recommendation</w:t>
            </w:r>
          </w:p>
        </w:tc>
      </w:tr>
      <w:tr w:rsidR="004F7603" w14:paraId="5AA8D74F" w14:textId="77777777" w:rsidTr="00CC4241">
        <w:trPr>
          <w:trHeight w:val="782"/>
        </w:trPr>
        <w:tc>
          <w:tcPr>
            <w:tcW w:w="3574" w:type="dxa"/>
          </w:tcPr>
          <w:p w14:paraId="5B9C6CDB" w14:textId="77777777" w:rsidR="004F7603" w:rsidRPr="0041435E" w:rsidRDefault="004F7603" w:rsidP="00CC4241">
            <w:pPr>
              <w:rPr>
                <w:b/>
              </w:rPr>
            </w:pPr>
            <w:r w:rsidRPr="0041435E">
              <w:rPr>
                <w:b/>
              </w:rPr>
              <w:t>Hormonal IUDs</w:t>
            </w:r>
          </w:p>
          <w:p w14:paraId="1B090572" w14:textId="77777777" w:rsidR="004F7603" w:rsidRDefault="004F7603" w:rsidP="00CC4241">
            <w:proofErr w:type="spellStart"/>
            <w:r>
              <w:t>Mirena</w:t>
            </w:r>
            <w:proofErr w:type="spellEnd"/>
            <w:r>
              <w:t xml:space="preserve">, Skyla, </w:t>
            </w:r>
            <w:proofErr w:type="spellStart"/>
            <w:r>
              <w:t>Liletta</w:t>
            </w:r>
            <w:proofErr w:type="spellEnd"/>
            <w:r>
              <w:t xml:space="preserve"> (</w:t>
            </w:r>
            <w:proofErr w:type="spellStart"/>
            <w:r w:rsidRPr="0041435E">
              <w:t>levonorgestrel</w:t>
            </w:r>
            <w:proofErr w:type="spellEnd"/>
            <w:r w:rsidRPr="0041435E">
              <w:t>-releasing</w:t>
            </w:r>
            <w:r>
              <w:t xml:space="preserve">) </w:t>
            </w:r>
          </w:p>
          <w:p w14:paraId="4422B1DE" w14:textId="77777777" w:rsidR="004F7603" w:rsidRDefault="004F7603" w:rsidP="00CC4241"/>
        </w:tc>
        <w:tc>
          <w:tcPr>
            <w:tcW w:w="4405" w:type="dxa"/>
          </w:tcPr>
          <w:p w14:paraId="020E681F" w14:textId="77777777" w:rsidR="004F7603" w:rsidRDefault="004F7603" w:rsidP="00CC4241">
            <w:r>
              <w:t>Less than 48 hours after delivery of the placenta – 2</w:t>
            </w:r>
          </w:p>
          <w:p w14:paraId="7DBD11E6" w14:textId="77777777" w:rsidR="004F7603" w:rsidRDefault="004F7603" w:rsidP="00CC4241">
            <w:r>
              <w:t>Between 48 hours and 4 weeks after delivery of the placenta – 3</w:t>
            </w:r>
          </w:p>
          <w:p w14:paraId="59649DF1" w14:textId="77777777" w:rsidR="004F7603" w:rsidRDefault="004F7603" w:rsidP="00CC4241">
            <w:r>
              <w:t xml:space="preserve">More than 4 weeks after delivery of the placenta – 1  </w:t>
            </w:r>
          </w:p>
          <w:p w14:paraId="040BFB00" w14:textId="77777777" w:rsidR="004F7603" w:rsidRDefault="004F7603" w:rsidP="00CC4241">
            <w:r>
              <w:t xml:space="preserve"> </w:t>
            </w:r>
          </w:p>
        </w:tc>
      </w:tr>
      <w:tr w:rsidR="004F7603" w14:paraId="7E8EC1DE" w14:textId="77777777" w:rsidTr="00CC4241">
        <w:trPr>
          <w:trHeight w:val="1412"/>
        </w:trPr>
        <w:tc>
          <w:tcPr>
            <w:tcW w:w="3574" w:type="dxa"/>
          </w:tcPr>
          <w:p w14:paraId="1A58E744" w14:textId="77777777" w:rsidR="004F7603" w:rsidRDefault="004F7603" w:rsidP="00CC4241">
            <w:pPr>
              <w:rPr>
                <w:b/>
              </w:rPr>
            </w:pPr>
            <w:r w:rsidRPr="0041435E">
              <w:rPr>
                <w:b/>
              </w:rPr>
              <w:t>Subdermal Implants</w:t>
            </w:r>
          </w:p>
          <w:p w14:paraId="5FACCEF4" w14:textId="77777777" w:rsidR="004F7603" w:rsidRDefault="004F7603" w:rsidP="00CC4241">
            <w:proofErr w:type="spellStart"/>
            <w:r>
              <w:t>Nexplanon</w:t>
            </w:r>
            <w:proofErr w:type="spellEnd"/>
            <w:r>
              <w:t xml:space="preserve">, </w:t>
            </w:r>
            <w:proofErr w:type="spellStart"/>
            <w:r>
              <w:t>Implanon</w:t>
            </w:r>
            <w:proofErr w:type="spellEnd"/>
            <w:r>
              <w:t xml:space="preserve"> (</w:t>
            </w:r>
            <w:proofErr w:type="spellStart"/>
            <w:r>
              <w:t>etonogestrel</w:t>
            </w:r>
            <w:proofErr w:type="spellEnd"/>
            <w:r>
              <w:t>-releasing)</w:t>
            </w:r>
          </w:p>
          <w:p w14:paraId="038C49C6" w14:textId="77777777" w:rsidR="004F7603" w:rsidRDefault="004F7603" w:rsidP="00CC4241"/>
        </w:tc>
        <w:tc>
          <w:tcPr>
            <w:tcW w:w="4405" w:type="dxa"/>
          </w:tcPr>
          <w:p w14:paraId="37F6F052" w14:textId="77777777" w:rsidR="004F7603" w:rsidRDefault="004F7603" w:rsidP="00CC4241">
            <w:r>
              <w:t>Less than 6 weeks postpartum – 2</w:t>
            </w:r>
          </w:p>
          <w:p w14:paraId="176E46E5" w14:textId="77777777" w:rsidR="004F7603" w:rsidRDefault="004F7603" w:rsidP="00CC4241">
            <w:r>
              <w:t>Between 6 weeks and 6 months postpartum – 1</w:t>
            </w:r>
          </w:p>
          <w:p w14:paraId="7CA26F24" w14:textId="77777777" w:rsidR="004F7603" w:rsidRDefault="004F7603" w:rsidP="00CC4241">
            <w:r>
              <w:t>More than 6 weeks postpartum – 1</w:t>
            </w:r>
          </w:p>
        </w:tc>
      </w:tr>
      <w:tr w:rsidR="004F7603" w14:paraId="2EE8BD0E" w14:textId="77777777" w:rsidTr="00CC4241">
        <w:trPr>
          <w:trHeight w:val="764"/>
        </w:trPr>
        <w:tc>
          <w:tcPr>
            <w:tcW w:w="3574" w:type="dxa"/>
          </w:tcPr>
          <w:p w14:paraId="45B06359" w14:textId="77777777" w:rsidR="004F7603" w:rsidRDefault="004F7603" w:rsidP="00CC4241">
            <w:pPr>
              <w:rPr>
                <w:b/>
              </w:rPr>
            </w:pPr>
            <w:proofErr w:type="spellStart"/>
            <w:r w:rsidRPr="0041435E">
              <w:rPr>
                <w:b/>
              </w:rPr>
              <w:t>Injectables</w:t>
            </w:r>
            <w:proofErr w:type="spellEnd"/>
          </w:p>
          <w:p w14:paraId="1AE0375C" w14:textId="77777777" w:rsidR="004F7603" w:rsidRDefault="004F7603" w:rsidP="00CC4241">
            <w:r w:rsidRPr="00414A31">
              <w:t>Depo-Provera</w:t>
            </w:r>
            <w:r>
              <w:t xml:space="preserve"> (progestin only)</w:t>
            </w:r>
          </w:p>
          <w:p w14:paraId="26B878B9" w14:textId="77777777" w:rsidR="004F7603" w:rsidRPr="00414A31" w:rsidRDefault="004F7603" w:rsidP="00CC4241"/>
        </w:tc>
        <w:tc>
          <w:tcPr>
            <w:tcW w:w="4405" w:type="dxa"/>
          </w:tcPr>
          <w:p w14:paraId="0DFC22CF" w14:textId="77777777" w:rsidR="004F7603" w:rsidRDefault="004F7603" w:rsidP="00CC4241">
            <w:r>
              <w:t>Less than 6 weeks postpartum – 3</w:t>
            </w:r>
          </w:p>
          <w:p w14:paraId="1CD00B42" w14:textId="77777777" w:rsidR="004F7603" w:rsidRDefault="004F7603" w:rsidP="00CC4241">
            <w:r>
              <w:t>Between 6 weeks and 6 months postpartum – 1</w:t>
            </w:r>
          </w:p>
          <w:p w14:paraId="744CB552" w14:textId="77777777" w:rsidR="004F7603" w:rsidRDefault="004F7603" w:rsidP="00CC4241">
            <w:r>
              <w:t>More than 6 weeks postpartum – 1</w:t>
            </w:r>
          </w:p>
          <w:p w14:paraId="3DD4FC88" w14:textId="77777777" w:rsidR="004F7603" w:rsidRDefault="004F7603" w:rsidP="00CC4241"/>
        </w:tc>
      </w:tr>
      <w:tr w:rsidR="004F7603" w14:paraId="27A6FA53" w14:textId="77777777" w:rsidTr="00CC4241">
        <w:trPr>
          <w:trHeight w:val="764"/>
        </w:trPr>
        <w:tc>
          <w:tcPr>
            <w:tcW w:w="3574" w:type="dxa"/>
          </w:tcPr>
          <w:p w14:paraId="31A99F26" w14:textId="77777777" w:rsidR="004F7603" w:rsidRDefault="004F7603" w:rsidP="00CC4241">
            <w:pPr>
              <w:rPr>
                <w:b/>
              </w:rPr>
            </w:pPr>
            <w:proofErr w:type="spellStart"/>
            <w:r>
              <w:rPr>
                <w:b/>
              </w:rPr>
              <w:t>Injectables</w:t>
            </w:r>
            <w:proofErr w:type="spellEnd"/>
            <w:r>
              <w:rPr>
                <w:b/>
              </w:rPr>
              <w:t xml:space="preserve"> </w:t>
            </w:r>
          </w:p>
          <w:p w14:paraId="534B3F35" w14:textId="77777777" w:rsidR="004F7603" w:rsidRDefault="004F7603" w:rsidP="00CC4241">
            <w:proofErr w:type="spellStart"/>
            <w:r>
              <w:t>Cyclofem</w:t>
            </w:r>
            <w:proofErr w:type="spellEnd"/>
            <w:r>
              <w:t xml:space="preserve">, </w:t>
            </w:r>
            <w:proofErr w:type="spellStart"/>
            <w:r>
              <w:t>Mesigyna</w:t>
            </w:r>
            <w:proofErr w:type="spellEnd"/>
            <w:r>
              <w:t xml:space="preserve"> </w:t>
            </w:r>
          </w:p>
          <w:p w14:paraId="08C4BC42" w14:textId="77777777" w:rsidR="004F7603" w:rsidRPr="00223B14" w:rsidRDefault="004F7603" w:rsidP="00CC4241">
            <w:r>
              <w:t xml:space="preserve">(combined hormonal, progestin and estrogen) </w:t>
            </w:r>
          </w:p>
        </w:tc>
        <w:tc>
          <w:tcPr>
            <w:tcW w:w="4405" w:type="dxa"/>
          </w:tcPr>
          <w:p w14:paraId="7E76E7F2" w14:textId="77777777" w:rsidR="004F7603" w:rsidRDefault="004F7603" w:rsidP="00CC4241">
            <w:r>
              <w:t>Less than 6 weeks postpartum – 4</w:t>
            </w:r>
          </w:p>
          <w:p w14:paraId="32AD230E" w14:textId="77777777" w:rsidR="004F7603" w:rsidRDefault="004F7603" w:rsidP="00CC4241">
            <w:r>
              <w:t>Between 6 weeks and 6 months postpartum – 3</w:t>
            </w:r>
          </w:p>
          <w:p w14:paraId="3726988B" w14:textId="77777777" w:rsidR="004F7603" w:rsidRDefault="004F7603" w:rsidP="00CC4241">
            <w:r>
              <w:t>More than 6 weeks postpartum – 2</w:t>
            </w:r>
          </w:p>
          <w:p w14:paraId="5EB6D8C6" w14:textId="77777777" w:rsidR="004F7603" w:rsidRDefault="004F7603" w:rsidP="00CC4241"/>
        </w:tc>
      </w:tr>
      <w:tr w:rsidR="004F7603" w14:paraId="77FA4AC4" w14:textId="77777777" w:rsidTr="00CC4241">
        <w:trPr>
          <w:trHeight w:val="764"/>
        </w:trPr>
        <w:tc>
          <w:tcPr>
            <w:tcW w:w="3574" w:type="dxa"/>
          </w:tcPr>
          <w:p w14:paraId="4BDE0630" w14:textId="77777777" w:rsidR="004F7603" w:rsidRDefault="004F7603" w:rsidP="00CC4241">
            <w:pPr>
              <w:rPr>
                <w:b/>
              </w:rPr>
            </w:pPr>
            <w:r w:rsidRPr="0041435E">
              <w:rPr>
                <w:b/>
              </w:rPr>
              <w:t xml:space="preserve">Combined Hormonal </w:t>
            </w:r>
          </w:p>
          <w:p w14:paraId="1FA03695" w14:textId="77777777" w:rsidR="004F7603" w:rsidRDefault="004F7603" w:rsidP="00CC4241">
            <w:r>
              <w:t>Pill, Patch, Ring (progestin and estrogen)</w:t>
            </w:r>
          </w:p>
          <w:p w14:paraId="605AAF1E" w14:textId="77777777" w:rsidR="004F7603" w:rsidRPr="00414A31" w:rsidRDefault="004F7603" w:rsidP="00CC4241"/>
        </w:tc>
        <w:tc>
          <w:tcPr>
            <w:tcW w:w="4405" w:type="dxa"/>
          </w:tcPr>
          <w:p w14:paraId="11FD0C8F" w14:textId="77777777" w:rsidR="004F7603" w:rsidRDefault="004F7603" w:rsidP="00CC4241">
            <w:r>
              <w:t>Less than 6 weeks postpartum – 4</w:t>
            </w:r>
          </w:p>
          <w:p w14:paraId="33D78AB0" w14:textId="77777777" w:rsidR="004F7603" w:rsidRDefault="004F7603" w:rsidP="00CC4241">
            <w:r>
              <w:t>Between 6 weeks and 6 months postpartum – 3</w:t>
            </w:r>
          </w:p>
          <w:p w14:paraId="6EF05960" w14:textId="77777777" w:rsidR="004F7603" w:rsidRDefault="004F7603" w:rsidP="00CC4241">
            <w:r>
              <w:t>More than 6 weeks postpartum – 2</w:t>
            </w:r>
          </w:p>
          <w:p w14:paraId="15A1B71B" w14:textId="77777777" w:rsidR="004F7603" w:rsidRDefault="004F7603" w:rsidP="00CC4241">
            <w:r>
              <w:t xml:space="preserve"> </w:t>
            </w:r>
          </w:p>
        </w:tc>
      </w:tr>
      <w:tr w:rsidR="004F7603" w14:paraId="1484FF1C" w14:textId="77777777" w:rsidTr="00CC4241">
        <w:trPr>
          <w:trHeight w:val="908"/>
        </w:trPr>
        <w:tc>
          <w:tcPr>
            <w:tcW w:w="3574" w:type="dxa"/>
          </w:tcPr>
          <w:p w14:paraId="581337BD" w14:textId="77777777" w:rsidR="004F7603" w:rsidRDefault="004F7603" w:rsidP="00CC4241">
            <w:pPr>
              <w:rPr>
                <w:b/>
              </w:rPr>
            </w:pPr>
            <w:r w:rsidRPr="0041435E">
              <w:rPr>
                <w:b/>
              </w:rPr>
              <w:t xml:space="preserve">Progestin-Only Pills </w:t>
            </w:r>
          </w:p>
          <w:p w14:paraId="744E3548" w14:textId="77777777" w:rsidR="004F7603" w:rsidRDefault="004F7603" w:rsidP="00CC4241">
            <w:r>
              <w:t xml:space="preserve">Mini pill </w:t>
            </w:r>
          </w:p>
          <w:p w14:paraId="775F135F" w14:textId="77777777" w:rsidR="004F7603" w:rsidRPr="00414A31" w:rsidRDefault="004F7603" w:rsidP="00CC4241"/>
        </w:tc>
        <w:tc>
          <w:tcPr>
            <w:tcW w:w="4405" w:type="dxa"/>
          </w:tcPr>
          <w:p w14:paraId="15772C69" w14:textId="77777777" w:rsidR="004F7603" w:rsidRDefault="004F7603" w:rsidP="00CC4241">
            <w:r>
              <w:t>Less than 6 weeks postpartum – 2</w:t>
            </w:r>
          </w:p>
          <w:p w14:paraId="17EF663A" w14:textId="77777777" w:rsidR="004F7603" w:rsidRDefault="004F7603" w:rsidP="00CC4241">
            <w:r>
              <w:t>Between 6 weeks and 6 months postpartum – 1</w:t>
            </w:r>
          </w:p>
          <w:p w14:paraId="56318DBE" w14:textId="55F2C611" w:rsidR="004F7603" w:rsidRDefault="004F7603" w:rsidP="00CC4241">
            <w:r>
              <w:t xml:space="preserve">More than 6 </w:t>
            </w:r>
            <w:r w:rsidR="00ED4691">
              <w:t>months</w:t>
            </w:r>
            <w:r>
              <w:t xml:space="preserve"> postpartum – 1</w:t>
            </w:r>
          </w:p>
          <w:p w14:paraId="4617A796" w14:textId="77777777" w:rsidR="004F7603" w:rsidRDefault="004F7603" w:rsidP="00CC4241"/>
        </w:tc>
      </w:tr>
    </w:tbl>
    <w:p w14:paraId="015A89F2" w14:textId="77777777" w:rsidR="004F7603" w:rsidRDefault="004F7603" w:rsidP="004F7603"/>
    <w:p w14:paraId="4D4053CA" w14:textId="77777777" w:rsidR="007C0391" w:rsidRDefault="007C0391" w:rsidP="004F7603"/>
    <w:p w14:paraId="096AAFA8" w14:textId="77777777" w:rsidR="004F7603" w:rsidRPr="007C0391" w:rsidRDefault="004F7603" w:rsidP="004F7603">
      <w:pPr>
        <w:rPr>
          <w:sz w:val="20"/>
          <w:szCs w:val="20"/>
        </w:rPr>
      </w:pPr>
      <w:r w:rsidRPr="007C0391">
        <w:rPr>
          <w:sz w:val="20"/>
          <w:szCs w:val="20"/>
        </w:rPr>
        <w:t>1 = a condition for which there is no restriction for the use of the contraceptive method</w:t>
      </w:r>
    </w:p>
    <w:p w14:paraId="5CE16FFC" w14:textId="77777777" w:rsidR="004F7603" w:rsidRPr="007C0391" w:rsidRDefault="004F7603" w:rsidP="004F7603">
      <w:pPr>
        <w:rPr>
          <w:sz w:val="20"/>
          <w:szCs w:val="20"/>
        </w:rPr>
      </w:pPr>
      <w:r w:rsidRPr="007C0391">
        <w:rPr>
          <w:sz w:val="20"/>
          <w:szCs w:val="20"/>
        </w:rPr>
        <w:t>2 = a condition for which the advantages of using the method generally outweigh the theoretical or proven risks</w:t>
      </w:r>
    </w:p>
    <w:p w14:paraId="4F92057A" w14:textId="77777777" w:rsidR="004F7603" w:rsidRPr="007C0391" w:rsidRDefault="004F7603" w:rsidP="004F7603">
      <w:pPr>
        <w:rPr>
          <w:sz w:val="20"/>
          <w:szCs w:val="20"/>
        </w:rPr>
      </w:pPr>
      <w:r w:rsidRPr="007C0391">
        <w:rPr>
          <w:sz w:val="20"/>
          <w:szCs w:val="20"/>
        </w:rPr>
        <w:t>3 = a condition for which the theoretical or proven risks usually outweigh the advantages of using the method</w:t>
      </w:r>
    </w:p>
    <w:p w14:paraId="2FE90345" w14:textId="77777777" w:rsidR="004F7603" w:rsidRPr="007C0391" w:rsidRDefault="004F7603" w:rsidP="004F7603">
      <w:pPr>
        <w:rPr>
          <w:sz w:val="20"/>
          <w:szCs w:val="20"/>
        </w:rPr>
      </w:pPr>
      <w:r w:rsidRPr="007C0391">
        <w:rPr>
          <w:sz w:val="20"/>
          <w:szCs w:val="20"/>
        </w:rPr>
        <w:t>4 = a condition that represents an unacceptable health risk if the contraceptive method is used.</w:t>
      </w:r>
      <w:r w:rsidRPr="007C0391">
        <w:rPr>
          <w:rStyle w:val="EndnoteReference"/>
          <w:sz w:val="20"/>
          <w:szCs w:val="20"/>
        </w:rPr>
        <w:endnoteReference w:id="7"/>
      </w:r>
    </w:p>
    <w:p w14:paraId="0D271E32" w14:textId="77777777" w:rsidR="004F7603" w:rsidRPr="003057C6" w:rsidRDefault="004F7603" w:rsidP="003057C6"/>
    <w:p w14:paraId="561834D8" w14:textId="77777777" w:rsidR="0092532F" w:rsidRDefault="00882ACD"/>
    <w:sectPr w:rsidR="0092532F" w:rsidSect="0028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5285" w14:textId="77777777" w:rsidR="00882ACD" w:rsidRDefault="00882ACD" w:rsidP="003057C6">
      <w:r>
        <w:separator/>
      </w:r>
    </w:p>
  </w:endnote>
  <w:endnote w:type="continuationSeparator" w:id="0">
    <w:p w14:paraId="1B2DC143" w14:textId="77777777" w:rsidR="00882ACD" w:rsidRDefault="00882ACD" w:rsidP="003057C6">
      <w:r>
        <w:continuationSeparator/>
      </w:r>
    </w:p>
  </w:endnote>
  <w:endnote w:id="1">
    <w:p w14:paraId="722D9B88" w14:textId="45F413E8" w:rsidR="007B036F" w:rsidRPr="007B036F" w:rsidRDefault="008647F6" w:rsidP="007B036F">
      <w:pPr>
        <w:rPr>
          <w:sz w:val="20"/>
          <w:szCs w:val="20"/>
        </w:rPr>
      </w:pPr>
      <w:r w:rsidRPr="007B036F">
        <w:rPr>
          <w:rStyle w:val="EndnoteReference"/>
          <w:sz w:val="20"/>
          <w:szCs w:val="20"/>
        </w:rPr>
        <w:endnoteRef/>
      </w:r>
      <w:r w:rsidRPr="007B036F">
        <w:rPr>
          <w:sz w:val="20"/>
          <w:szCs w:val="20"/>
        </w:rPr>
        <w:t xml:space="preserve"> U.S. Department of Health and Human Services, Center for Disease Control and Prevention. </w:t>
      </w:r>
      <w:r w:rsidR="00A3372F">
        <w:rPr>
          <w:sz w:val="20"/>
          <w:szCs w:val="20"/>
        </w:rPr>
        <w:t>“</w:t>
      </w:r>
      <w:r w:rsidRPr="007B036F">
        <w:rPr>
          <w:sz w:val="20"/>
          <w:szCs w:val="20"/>
        </w:rPr>
        <w:t>U.S. Selected Practice Recommendations for Contraceptive Use, 2013: Adapted from the World Health Organization Selected Practice Recommendations for Contraceptive Use, 2nd Edition</w:t>
      </w:r>
      <w:r w:rsidR="00A3372F">
        <w:rPr>
          <w:sz w:val="20"/>
          <w:szCs w:val="20"/>
        </w:rPr>
        <w:t>,”</w:t>
      </w:r>
      <w:r w:rsidRPr="007B036F">
        <w:rPr>
          <w:sz w:val="20"/>
          <w:szCs w:val="20"/>
        </w:rPr>
        <w:t xml:space="preserve"> </w:t>
      </w:r>
      <w:r w:rsidRPr="00A3372F">
        <w:rPr>
          <w:i/>
          <w:sz w:val="20"/>
          <w:szCs w:val="20"/>
        </w:rPr>
        <w:t>Centers for Disease Control and Prevention Morbidity and Mortality Weekly Report</w:t>
      </w:r>
      <w:r w:rsidRPr="007B036F">
        <w:rPr>
          <w:sz w:val="20"/>
          <w:szCs w:val="20"/>
        </w:rPr>
        <w:t xml:space="preserve">. 62. 2013. </w:t>
      </w:r>
      <w:hyperlink r:id="rId1" w:history="1">
        <w:r w:rsidRPr="007B036F">
          <w:rPr>
            <w:rStyle w:val="Hyperlink"/>
            <w:sz w:val="20"/>
            <w:szCs w:val="20"/>
          </w:rPr>
          <w:t>http://www.cdc.gov/mmwr/pdf/rr/rr62e0614.pdf</w:t>
        </w:r>
      </w:hyperlink>
      <w:r w:rsidRPr="007B036F">
        <w:rPr>
          <w:sz w:val="20"/>
          <w:szCs w:val="20"/>
        </w:rPr>
        <w:t xml:space="preserve">. Accessed July 27, 2016. </w:t>
      </w:r>
    </w:p>
  </w:endnote>
  <w:endnote w:id="2">
    <w:p w14:paraId="6D585D2B" w14:textId="417E08C3" w:rsidR="009A5D55" w:rsidRDefault="009A5D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036F">
        <w:rPr>
          <w:sz w:val="20"/>
          <w:szCs w:val="20"/>
        </w:rPr>
        <w:t xml:space="preserve">The American College of Obstetricians and Gynecologists. “Committee Opinion,” </w:t>
      </w:r>
      <w:r w:rsidRPr="007B036F">
        <w:rPr>
          <w:i/>
          <w:sz w:val="20"/>
          <w:szCs w:val="20"/>
        </w:rPr>
        <w:t>The American Congress of Obstetricians and Gynecologists</w:t>
      </w:r>
      <w:r w:rsidRPr="007B036F">
        <w:rPr>
          <w:sz w:val="20"/>
          <w:szCs w:val="20"/>
        </w:rPr>
        <w:t xml:space="preserve">. 670. 2016. </w:t>
      </w:r>
      <w:hyperlink r:id="rId2" w:tgtFrame="_blank" w:history="1">
        <w:r w:rsidRPr="007B036F">
          <w:rPr>
            <w:rStyle w:val="Hyperlink"/>
            <w:sz w:val="20"/>
            <w:szCs w:val="20"/>
          </w:rPr>
          <w:t>http://www.acog.org/Resources-And-Publications/Committee-Opinions/Committee-on-Obstetric-Practice/Immediate-Postpartum-Long-Acting-Reversible-Contraception</w:t>
        </w:r>
      </w:hyperlink>
      <w:r w:rsidRPr="007B036F">
        <w:rPr>
          <w:sz w:val="20"/>
          <w:szCs w:val="20"/>
        </w:rPr>
        <w:t>. Accessed July 27, 2016.</w:t>
      </w:r>
    </w:p>
  </w:endnote>
  <w:endnote w:id="3">
    <w:p w14:paraId="5E502037" w14:textId="25D3B5D9" w:rsidR="0091130B" w:rsidRPr="007B036F" w:rsidRDefault="0091130B" w:rsidP="004F7603">
      <w:pPr>
        <w:rPr>
          <w:sz w:val="20"/>
          <w:szCs w:val="20"/>
        </w:rPr>
      </w:pPr>
      <w:r w:rsidRPr="007B036F">
        <w:rPr>
          <w:rStyle w:val="EndnoteReference"/>
          <w:sz w:val="20"/>
          <w:szCs w:val="20"/>
        </w:rPr>
        <w:endnoteRef/>
      </w:r>
      <w:r w:rsidRPr="007B036F">
        <w:rPr>
          <w:sz w:val="20"/>
          <w:szCs w:val="20"/>
        </w:rPr>
        <w:t xml:space="preserve"> The American College of Obstetricians and Gynecologists. “Committee Opinion,” </w:t>
      </w:r>
      <w:r w:rsidR="007B036F" w:rsidRPr="007B036F">
        <w:rPr>
          <w:i/>
          <w:sz w:val="20"/>
          <w:szCs w:val="20"/>
        </w:rPr>
        <w:t>The American Con</w:t>
      </w:r>
      <w:r w:rsidR="00544110" w:rsidRPr="007B036F">
        <w:rPr>
          <w:i/>
          <w:sz w:val="20"/>
          <w:szCs w:val="20"/>
        </w:rPr>
        <w:t>g</w:t>
      </w:r>
      <w:r w:rsidR="007B036F" w:rsidRPr="007B036F">
        <w:rPr>
          <w:i/>
          <w:sz w:val="20"/>
          <w:szCs w:val="20"/>
        </w:rPr>
        <w:t>r</w:t>
      </w:r>
      <w:r w:rsidR="00544110" w:rsidRPr="007B036F">
        <w:rPr>
          <w:i/>
          <w:sz w:val="20"/>
          <w:szCs w:val="20"/>
        </w:rPr>
        <w:t>e</w:t>
      </w:r>
      <w:r w:rsidR="007B036F" w:rsidRPr="007B036F">
        <w:rPr>
          <w:i/>
          <w:sz w:val="20"/>
          <w:szCs w:val="20"/>
        </w:rPr>
        <w:t>ss</w:t>
      </w:r>
      <w:r w:rsidRPr="007B036F">
        <w:rPr>
          <w:i/>
          <w:sz w:val="20"/>
          <w:szCs w:val="20"/>
        </w:rPr>
        <w:t xml:space="preserve"> of Obstetricians and Gynecologists</w:t>
      </w:r>
      <w:r w:rsidRPr="007B036F">
        <w:rPr>
          <w:sz w:val="20"/>
          <w:szCs w:val="20"/>
        </w:rPr>
        <w:t xml:space="preserve">. 670. 2016. </w:t>
      </w:r>
      <w:hyperlink r:id="rId3" w:tgtFrame="_blank" w:history="1">
        <w:r w:rsidRPr="007B036F">
          <w:rPr>
            <w:rStyle w:val="Hyperlink"/>
            <w:sz w:val="20"/>
            <w:szCs w:val="20"/>
          </w:rPr>
          <w:t>http://www.acog.org/Resources-And-Publications/Committee-Opinions/Committee-on-Obstetric-Practice/Immediate-Postpartum-Long-Acting-Reversible-Contraception</w:t>
        </w:r>
      </w:hyperlink>
      <w:r w:rsidRPr="007B036F">
        <w:rPr>
          <w:sz w:val="20"/>
          <w:szCs w:val="20"/>
        </w:rPr>
        <w:t xml:space="preserve">. Accessed July 27, 2016. </w:t>
      </w:r>
    </w:p>
  </w:endnote>
  <w:endnote w:id="4">
    <w:p w14:paraId="2C662FCF" w14:textId="68231B1A" w:rsidR="007B036F" w:rsidRPr="007B036F" w:rsidRDefault="007B036F" w:rsidP="004F7603">
      <w:pPr>
        <w:rPr>
          <w:sz w:val="20"/>
          <w:szCs w:val="20"/>
        </w:rPr>
      </w:pPr>
      <w:r w:rsidRPr="007B036F">
        <w:rPr>
          <w:rStyle w:val="EndnoteReference"/>
          <w:sz w:val="20"/>
          <w:szCs w:val="20"/>
        </w:rPr>
        <w:endnoteRef/>
      </w:r>
      <w:r w:rsidRPr="007B036F">
        <w:rPr>
          <w:sz w:val="20"/>
          <w:szCs w:val="20"/>
        </w:rPr>
        <w:t xml:space="preserve"> The American College of Obstetricians and Gynecologists. “</w:t>
      </w:r>
      <w:r w:rsidR="00AD5A58">
        <w:rPr>
          <w:sz w:val="20"/>
          <w:szCs w:val="20"/>
        </w:rPr>
        <w:t xml:space="preserve">Frequently Asked Questions Contraception: </w:t>
      </w:r>
      <w:r w:rsidRPr="007B036F">
        <w:rPr>
          <w:bCs/>
          <w:sz w:val="20"/>
          <w:szCs w:val="20"/>
        </w:rPr>
        <w:t xml:space="preserve">Progestin-Only Hormonal Birth Control: Pill and Injection,” </w:t>
      </w:r>
      <w:r w:rsidRPr="007B036F">
        <w:rPr>
          <w:bCs/>
          <w:i/>
          <w:sz w:val="20"/>
          <w:szCs w:val="20"/>
        </w:rPr>
        <w:t>The American Congress of Obstetricians and Gynecologists</w:t>
      </w:r>
      <w:r w:rsidR="00AD5A58">
        <w:rPr>
          <w:bCs/>
          <w:sz w:val="20"/>
          <w:szCs w:val="20"/>
        </w:rPr>
        <w:t xml:space="preserve">. </w:t>
      </w:r>
      <w:r w:rsidRPr="007B036F">
        <w:rPr>
          <w:bCs/>
          <w:sz w:val="20"/>
          <w:szCs w:val="20"/>
        </w:rPr>
        <w:t xml:space="preserve">186. 2014. </w:t>
      </w:r>
      <w:hyperlink r:id="rId4" w:tgtFrame="_blank" w:history="1">
        <w:r w:rsidRPr="007B036F">
          <w:rPr>
            <w:rStyle w:val="Hyperlink"/>
            <w:sz w:val="20"/>
            <w:szCs w:val="20"/>
          </w:rPr>
          <w:t>http://www.acog.org/Patients/FAQs/Progestin-Only-Hormonal-Birth-Control-Pill-and-Injection</w:t>
        </w:r>
      </w:hyperlink>
      <w:r w:rsidRPr="007B036F">
        <w:rPr>
          <w:sz w:val="20"/>
          <w:szCs w:val="20"/>
        </w:rPr>
        <w:t xml:space="preserve">. Accessed July 27, 2016. </w:t>
      </w:r>
    </w:p>
  </w:endnote>
  <w:endnote w:id="5">
    <w:p w14:paraId="04B5DE51" w14:textId="7AD09C64" w:rsidR="00942A98" w:rsidRDefault="00942A9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036F">
        <w:rPr>
          <w:sz w:val="20"/>
          <w:szCs w:val="20"/>
        </w:rPr>
        <w:t xml:space="preserve">The American College of Obstetricians and Gynecologists. “Committee Opinion,” </w:t>
      </w:r>
      <w:r w:rsidRPr="007B036F">
        <w:rPr>
          <w:i/>
          <w:sz w:val="20"/>
          <w:szCs w:val="20"/>
        </w:rPr>
        <w:t>The American Congress of Obstetricians and Gynecologists</w:t>
      </w:r>
      <w:r w:rsidRPr="007B036F">
        <w:rPr>
          <w:sz w:val="20"/>
          <w:szCs w:val="20"/>
        </w:rPr>
        <w:t xml:space="preserve">. 670. 2016. </w:t>
      </w:r>
      <w:hyperlink r:id="rId5" w:tgtFrame="_blank" w:history="1">
        <w:r w:rsidRPr="007B036F">
          <w:rPr>
            <w:rStyle w:val="Hyperlink"/>
            <w:sz w:val="20"/>
            <w:szCs w:val="20"/>
          </w:rPr>
          <w:t>http://www.acog.org/Resources-And-Publications/Committee-Opinions/Committee-on-Obstetric-Practice/Immediate-Postpartum-Long-Acting-Reversible-Contraception</w:t>
        </w:r>
      </w:hyperlink>
      <w:r w:rsidRPr="007B036F">
        <w:rPr>
          <w:sz w:val="20"/>
          <w:szCs w:val="20"/>
        </w:rPr>
        <w:t>. Accessed July 27, 2016.</w:t>
      </w:r>
    </w:p>
  </w:endnote>
  <w:endnote w:id="6">
    <w:p w14:paraId="5A17A60A" w14:textId="10E2CEC5" w:rsidR="00544110" w:rsidRPr="004F7603" w:rsidRDefault="00544110" w:rsidP="004F7603">
      <w:pPr>
        <w:rPr>
          <w:sz w:val="20"/>
          <w:szCs w:val="20"/>
        </w:rPr>
      </w:pPr>
      <w:r w:rsidRPr="007B036F">
        <w:rPr>
          <w:rStyle w:val="EndnoteReference"/>
          <w:sz w:val="20"/>
          <w:szCs w:val="20"/>
        </w:rPr>
        <w:endnoteRef/>
      </w:r>
      <w:r w:rsidRPr="007B036F">
        <w:rPr>
          <w:sz w:val="20"/>
          <w:szCs w:val="20"/>
        </w:rPr>
        <w:t xml:space="preserve"> The American College of Obstetricians and Gynecologists. “</w:t>
      </w:r>
      <w:r w:rsidR="00AD5A58">
        <w:rPr>
          <w:sz w:val="20"/>
          <w:szCs w:val="20"/>
        </w:rPr>
        <w:t xml:space="preserve">Frequently Asked Questions Contraception: </w:t>
      </w:r>
      <w:r w:rsidRPr="007B036F">
        <w:rPr>
          <w:sz w:val="20"/>
          <w:szCs w:val="20"/>
        </w:rPr>
        <w:t xml:space="preserve">Combined Hormonal Birth Control: Pill, Patch, Ring,” </w:t>
      </w:r>
      <w:r w:rsidRPr="007B036F">
        <w:rPr>
          <w:i/>
          <w:sz w:val="20"/>
          <w:szCs w:val="20"/>
        </w:rPr>
        <w:t xml:space="preserve">The American </w:t>
      </w:r>
      <w:r w:rsidR="007B036F" w:rsidRPr="007B036F">
        <w:rPr>
          <w:i/>
          <w:sz w:val="20"/>
          <w:szCs w:val="20"/>
        </w:rPr>
        <w:t>Con</w:t>
      </w:r>
      <w:r w:rsidRPr="007B036F">
        <w:rPr>
          <w:i/>
          <w:sz w:val="20"/>
          <w:szCs w:val="20"/>
        </w:rPr>
        <w:t>g</w:t>
      </w:r>
      <w:r w:rsidR="007B036F" w:rsidRPr="007B036F">
        <w:rPr>
          <w:i/>
          <w:sz w:val="20"/>
          <w:szCs w:val="20"/>
        </w:rPr>
        <w:t>r</w:t>
      </w:r>
      <w:r w:rsidRPr="007B036F">
        <w:rPr>
          <w:i/>
          <w:sz w:val="20"/>
          <w:szCs w:val="20"/>
        </w:rPr>
        <w:t>e</w:t>
      </w:r>
      <w:r w:rsidR="007B036F" w:rsidRPr="007B036F">
        <w:rPr>
          <w:i/>
          <w:sz w:val="20"/>
          <w:szCs w:val="20"/>
        </w:rPr>
        <w:t>ss</w:t>
      </w:r>
      <w:r w:rsidRPr="007B036F">
        <w:rPr>
          <w:i/>
          <w:sz w:val="20"/>
          <w:szCs w:val="20"/>
        </w:rPr>
        <w:t xml:space="preserve"> of Obstetricians and Gynecologists</w:t>
      </w:r>
      <w:r w:rsidRPr="007B036F">
        <w:rPr>
          <w:sz w:val="20"/>
          <w:szCs w:val="20"/>
        </w:rPr>
        <w:t xml:space="preserve">. 185. 2014. </w:t>
      </w:r>
      <w:hyperlink r:id="rId6" w:anchor="use" w:tgtFrame="_blank" w:history="1">
        <w:r w:rsidRPr="007B036F">
          <w:rPr>
            <w:rStyle w:val="Hyperlink"/>
            <w:sz w:val="20"/>
            <w:szCs w:val="20"/>
          </w:rPr>
          <w:t>http://www.acog.org/Patients/FAQs/Combined-Hor</w:t>
        </w:r>
        <w:bookmarkStart w:id="0" w:name="_GoBack"/>
        <w:bookmarkEnd w:id="0"/>
        <w:r w:rsidRPr="007B036F">
          <w:rPr>
            <w:rStyle w:val="Hyperlink"/>
            <w:sz w:val="20"/>
            <w:szCs w:val="20"/>
          </w:rPr>
          <w:t>monal-Birth-Control-Pill-Patch-and-Ring#use</w:t>
        </w:r>
      </w:hyperlink>
      <w:r w:rsidRPr="007B036F">
        <w:rPr>
          <w:sz w:val="20"/>
          <w:szCs w:val="20"/>
        </w:rPr>
        <w:t xml:space="preserve">. Accessed on July 27, 2016. </w:t>
      </w:r>
    </w:p>
  </w:endnote>
  <w:endnote w:id="7">
    <w:p w14:paraId="192F41C4" w14:textId="77777777" w:rsidR="004F7603" w:rsidRDefault="004F7603" w:rsidP="004F760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C0E54">
        <w:rPr>
          <w:sz w:val="20"/>
          <w:szCs w:val="20"/>
        </w:rPr>
        <w:t xml:space="preserve">World Health Organization. Medical Eligibility Criteria for Contraceptive Use, Fifth Edition, 2015. </w:t>
      </w:r>
      <w:hyperlink r:id="rId7" w:history="1">
        <w:r w:rsidRPr="008C0E54">
          <w:rPr>
            <w:rStyle w:val="Hyperlink"/>
            <w:sz w:val="20"/>
            <w:szCs w:val="20"/>
          </w:rPr>
          <w:t>http://apps.who.int/iris/bitstream/10665/181468/1/9789241549158_eng.pdf</w:t>
        </w:r>
      </w:hyperlink>
      <w:r w:rsidRPr="008C0E54">
        <w:rPr>
          <w:sz w:val="20"/>
          <w:szCs w:val="20"/>
        </w:rPr>
        <w:t>. Accessed on July 26, 2016.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EB24" w14:textId="77777777" w:rsidR="00882ACD" w:rsidRDefault="00882ACD" w:rsidP="003057C6">
      <w:r>
        <w:separator/>
      </w:r>
    </w:p>
  </w:footnote>
  <w:footnote w:type="continuationSeparator" w:id="0">
    <w:p w14:paraId="5ED84C18" w14:textId="77777777" w:rsidR="00882ACD" w:rsidRDefault="00882ACD" w:rsidP="0030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F2C"/>
    <w:multiLevelType w:val="hybridMultilevel"/>
    <w:tmpl w:val="0A4E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36B3"/>
    <w:multiLevelType w:val="multilevel"/>
    <w:tmpl w:val="647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24193"/>
    <w:multiLevelType w:val="hybridMultilevel"/>
    <w:tmpl w:val="F1A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6"/>
    <w:rsid w:val="00056D54"/>
    <w:rsid w:val="000C3641"/>
    <w:rsid w:val="001B125A"/>
    <w:rsid w:val="0020150F"/>
    <w:rsid w:val="002764DD"/>
    <w:rsid w:val="002819FD"/>
    <w:rsid w:val="003057C6"/>
    <w:rsid w:val="00344056"/>
    <w:rsid w:val="0043500D"/>
    <w:rsid w:val="00486C6E"/>
    <w:rsid w:val="004F7603"/>
    <w:rsid w:val="005371F4"/>
    <w:rsid w:val="00544110"/>
    <w:rsid w:val="00730F0B"/>
    <w:rsid w:val="007B036F"/>
    <w:rsid w:val="007C0391"/>
    <w:rsid w:val="00836E51"/>
    <w:rsid w:val="008647F6"/>
    <w:rsid w:val="00866690"/>
    <w:rsid w:val="00882ACD"/>
    <w:rsid w:val="0091130B"/>
    <w:rsid w:val="00942A98"/>
    <w:rsid w:val="009A0EC5"/>
    <w:rsid w:val="009A5D55"/>
    <w:rsid w:val="00A3372F"/>
    <w:rsid w:val="00A33D8A"/>
    <w:rsid w:val="00AB4550"/>
    <w:rsid w:val="00AD5A58"/>
    <w:rsid w:val="00B7376D"/>
    <w:rsid w:val="00B962B2"/>
    <w:rsid w:val="00D268F1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61D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7C6"/>
  </w:style>
  <w:style w:type="paragraph" w:styleId="Footer">
    <w:name w:val="footer"/>
    <w:basedOn w:val="Normal"/>
    <w:link w:val="FooterChar"/>
    <w:uiPriority w:val="99"/>
    <w:unhideWhenUsed/>
    <w:rsid w:val="0030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C6"/>
  </w:style>
  <w:style w:type="paragraph" w:styleId="ListParagraph">
    <w:name w:val="List Paragraph"/>
    <w:basedOn w:val="Normal"/>
    <w:uiPriority w:val="34"/>
    <w:qFormat/>
    <w:rsid w:val="001B1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7F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647F6"/>
  </w:style>
  <w:style w:type="character" w:customStyle="1" w:styleId="EndnoteTextChar">
    <w:name w:val="Endnote Text Char"/>
    <w:basedOn w:val="DefaultParagraphFont"/>
    <w:link w:val="EndnoteText"/>
    <w:uiPriority w:val="99"/>
    <w:rsid w:val="008647F6"/>
  </w:style>
  <w:style w:type="character" w:styleId="EndnoteReference">
    <w:name w:val="endnote reference"/>
    <w:basedOn w:val="DefaultParagraphFont"/>
    <w:uiPriority w:val="99"/>
    <w:unhideWhenUsed/>
    <w:rsid w:val="008647F6"/>
    <w:rPr>
      <w:vertAlign w:val="superscript"/>
    </w:rPr>
  </w:style>
  <w:style w:type="table" w:styleId="TableGrid">
    <w:name w:val="Table Grid"/>
    <w:basedOn w:val="TableNormal"/>
    <w:uiPriority w:val="39"/>
    <w:rsid w:val="004F7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42A98"/>
  </w:style>
  <w:style w:type="character" w:customStyle="1" w:styleId="FootnoteTextChar">
    <w:name w:val="Footnote Text Char"/>
    <w:basedOn w:val="DefaultParagraphFont"/>
    <w:link w:val="FootnoteText"/>
    <w:uiPriority w:val="99"/>
    <w:rsid w:val="00942A98"/>
  </w:style>
  <w:style w:type="character" w:styleId="FootnoteReference">
    <w:name w:val="footnote reference"/>
    <w:basedOn w:val="DefaultParagraphFont"/>
    <w:uiPriority w:val="99"/>
    <w:unhideWhenUsed/>
    <w:rsid w:val="0094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3.jpg@01CDC27D.27CF25C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og.org/Resources-And-Publications/Committee-Opinions/Committee-on-Obstetric-Practice/Immediate-Postpartum-Long-Acting-Reversible-Contraception" TargetMode="External"/><Relationship Id="rId4" Type="http://schemas.openxmlformats.org/officeDocument/2006/relationships/hyperlink" Target="http://www.acog.org/Patients/FAQs/Progestin-Only-Hormonal-Birth-Control-Pill-and-Injection" TargetMode="External"/><Relationship Id="rId5" Type="http://schemas.openxmlformats.org/officeDocument/2006/relationships/hyperlink" Target="http://www.acog.org/Resources-And-Publications/Committee-Opinions/Committee-on-Obstetric-Practice/Immediate-Postpartum-Long-Acting-Reversible-Contraception" TargetMode="External"/><Relationship Id="rId6" Type="http://schemas.openxmlformats.org/officeDocument/2006/relationships/hyperlink" Target="http://www.acog.org/Patients/FAQs/Combined-Hormonal-Birth-Control-Pill-Patch-and-Ring" TargetMode="External"/><Relationship Id="rId7" Type="http://schemas.openxmlformats.org/officeDocument/2006/relationships/hyperlink" Target="http://apps.who.int/iris/bitstream/10665/181468/1/9789241549158_eng.pdf" TargetMode="External"/><Relationship Id="rId1" Type="http://schemas.openxmlformats.org/officeDocument/2006/relationships/hyperlink" Target="http://www.cdc.gov/mmwr/pdf/rr/rr62e0614.pdf" TargetMode="External"/><Relationship Id="rId2" Type="http://schemas.openxmlformats.org/officeDocument/2006/relationships/hyperlink" Target="http://www.acog.org/Resources-And-Publications/Committee-Opinions/Committee-on-Obstetric-Practice/Immediate-Postpartum-Long-Acting-Reversible-Contra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2016-07-28T18:01:00Z</dcterms:created>
  <dcterms:modified xsi:type="dcterms:W3CDTF">2016-07-28T18:01:00Z</dcterms:modified>
</cp:coreProperties>
</file>